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0A087B">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0A087B">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0A087B">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0A087B">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0A087B">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0A087B">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0A087B">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0A087B">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0A087B">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954AB7">
              <w:rPr>
                <w:rFonts w:ascii="Arial" w:hAnsi="Arial" w:cs="Arial"/>
                <w:b/>
                <w:sz w:val="20"/>
                <w:szCs w:val="20"/>
              </w:rPr>
              <w:t>09</w:t>
            </w:r>
            <w:r w:rsidR="00B40B65" w:rsidRPr="00687D02">
              <w:rPr>
                <w:rFonts w:ascii="Arial" w:hAnsi="Arial" w:cs="Arial"/>
                <w:b/>
                <w:sz w:val="20"/>
                <w:szCs w:val="20"/>
              </w:rPr>
              <w:t>/201</w:t>
            </w:r>
            <w:r w:rsidR="00954AB7">
              <w:rPr>
                <w:rFonts w:ascii="Arial" w:hAnsi="Arial" w:cs="Arial"/>
                <w:b/>
                <w:sz w:val="20"/>
                <w:szCs w:val="20"/>
              </w:rPr>
              <w:t>5</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82.49</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40.15</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D546D1" w:rsidRDefault="00D546D1"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Default="00D079B6" w:rsidP="002C059E">
      <w:pPr>
        <w:spacing w:before="120"/>
        <w:rPr>
          <w:rFonts w:ascii="Arial" w:hAnsi="Arial" w:cs="Arial"/>
          <w:b/>
          <w:sz w:val="20"/>
          <w:szCs w:val="20"/>
        </w:rPr>
      </w:pPr>
    </w:p>
    <w:p w:rsidR="00D079B6" w:rsidRPr="004621ED" w:rsidRDefault="00D079B6"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lastRenderedPageBreak/>
              <w:t xml:space="preserve">Operative </w:t>
            </w:r>
            <w:r w:rsidRPr="000E7365">
              <w:rPr>
                <w:rFonts w:ascii="Arial" w:hAnsi="Arial" w:cs="Arial"/>
                <w:b/>
                <w:bCs/>
                <w:sz w:val="20"/>
                <w:szCs w:val="20"/>
              </w:rPr>
              <w:lastRenderedPageBreak/>
              <w:t>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lastRenderedPageBreak/>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 xml:space="preserve">IPstream Connect </w:t>
            </w:r>
            <w:r w:rsidRPr="000E7365">
              <w:rPr>
                <w:rFonts w:ascii="Arial" w:hAnsi="Arial" w:cs="Arial"/>
                <w:b/>
                <w:color w:val="000000"/>
                <w:sz w:val="20"/>
                <w:szCs w:val="20"/>
              </w:rPr>
              <w:lastRenderedPageBreak/>
              <w:t>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lastRenderedPageBreak/>
              <w:t xml:space="preserve">Minimum </w:t>
            </w:r>
            <w:r w:rsidRPr="000E7365">
              <w:rPr>
                <w:rFonts w:ascii="Arial" w:hAnsi="Arial" w:cs="Arial"/>
                <w:b/>
                <w:color w:val="000000"/>
                <w:sz w:val="20"/>
                <w:szCs w:val="20"/>
              </w:rPr>
              <w:lastRenderedPageBreak/>
              <w:t>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D0295C" w:rsidRPr="000E7365" w:rsidTr="00D0295C">
        <w:trPr>
          <w:trHeight w:val="588"/>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D0295C" w:rsidRPr="00566907" w:rsidRDefault="00F23C04" w:rsidP="0037611A">
            <w:pPr>
              <w:jc w:val="center"/>
              <w:rPr>
                <w:rFonts w:ascii="Arial" w:hAnsi="Arial" w:cs="Arial"/>
                <w:sz w:val="20"/>
                <w:szCs w:val="20"/>
              </w:rPr>
            </w:pPr>
            <w:r>
              <w:rPr>
                <w:rFonts w:ascii="Arial" w:hAnsi="Arial" w:cs="Arial"/>
                <w:sz w:val="20"/>
                <w:szCs w:val="20"/>
              </w:rPr>
              <w:t>01.06</w:t>
            </w:r>
            <w:r w:rsidR="00D0295C" w:rsidRPr="00566907">
              <w:rPr>
                <w:rFonts w:ascii="Arial" w:hAnsi="Arial" w:cs="Arial"/>
                <w:sz w:val="20"/>
                <w:szCs w:val="20"/>
              </w:rPr>
              <w:t>.201</w:t>
            </w:r>
            <w:r>
              <w:rPr>
                <w:rFonts w:ascii="Arial" w:hAnsi="Arial" w:cs="Arial"/>
                <w:sz w:val="20"/>
                <w:szCs w:val="20"/>
              </w:rPr>
              <w:t>6</w:t>
            </w:r>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D0295C" w:rsidP="00D0295C">
            <w:pPr>
              <w:jc w:val="center"/>
              <w:rPr>
                <w:rFonts w:ascii="Arial" w:hAnsi="Arial" w:cs="Arial"/>
                <w:sz w:val="20"/>
                <w:szCs w:val="20"/>
              </w:rPr>
            </w:pPr>
            <w:r w:rsidRPr="00D0295C">
              <w:rPr>
                <w:rFonts w:ascii="Arial" w:hAnsi="Arial" w:cs="Arial"/>
                <w:sz w:val="20"/>
                <w:szCs w:val="20"/>
              </w:rPr>
              <w:t>5.00</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D0295C" w:rsidRPr="00566907" w:rsidRDefault="00F23C04" w:rsidP="0037611A">
            <w:pPr>
              <w:jc w:val="center"/>
              <w:rPr>
                <w:rFonts w:ascii="Arial" w:hAnsi="Arial" w:cs="Arial"/>
                <w:sz w:val="20"/>
                <w:szCs w:val="20"/>
              </w:rPr>
            </w:pPr>
            <w:r>
              <w:rPr>
                <w:rFonts w:ascii="Arial" w:hAnsi="Arial" w:cs="Arial"/>
                <w:sz w:val="20"/>
                <w:szCs w:val="20"/>
              </w:rPr>
              <w:t>01.06</w:t>
            </w:r>
            <w:r w:rsidR="00D0295C" w:rsidRPr="00566907">
              <w:rPr>
                <w:rFonts w:ascii="Arial" w:hAnsi="Arial" w:cs="Arial"/>
                <w:sz w:val="20"/>
                <w:szCs w:val="20"/>
              </w:rPr>
              <w:t>.201</w:t>
            </w:r>
            <w:r>
              <w:rPr>
                <w:rFonts w:ascii="Arial" w:hAnsi="Arial" w:cs="Arial"/>
                <w:sz w:val="20"/>
                <w:szCs w:val="20"/>
              </w:rPr>
              <w:t>6</w:t>
            </w:r>
          </w:p>
        </w:tc>
        <w:tc>
          <w:tcPr>
            <w:tcW w:w="1015"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39.79</w:t>
            </w:r>
          </w:p>
          <w:p w:rsidR="00D0295C" w:rsidRPr="00566907" w:rsidRDefault="00D0295C"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D0295C" w:rsidP="00D0295C">
            <w:pPr>
              <w:jc w:val="center"/>
              <w:rPr>
                <w:rFonts w:ascii="Arial" w:hAnsi="Arial" w:cs="Arial"/>
                <w:sz w:val="20"/>
                <w:szCs w:val="20"/>
              </w:rPr>
            </w:pPr>
            <w:r w:rsidRPr="00D0295C">
              <w:rPr>
                <w:rFonts w:ascii="Arial" w:hAnsi="Arial" w:cs="Arial"/>
                <w:sz w:val="20"/>
                <w:szCs w:val="20"/>
              </w:rPr>
              <w:t>5.00</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D0295C" w:rsidRPr="000E7365" w:rsidTr="00D0295C">
        <w:trPr>
          <w:trHeight w:val="259"/>
        </w:trPr>
        <w:tc>
          <w:tcPr>
            <w:tcW w:w="2142" w:type="dxa"/>
            <w:shd w:val="clear" w:color="auto" w:fill="auto"/>
            <w:noWrap/>
            <w:vAlign w:val="center"/>
          </w:tcPr>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IPstream Connect</w:t>
            </w:r>
          </w:p>
          <w:p w:rsidR="00D0295C" w:rsidRPr="00566907" w:rsidRDefault="00D0295C"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D0295C" w:rsidRPr="00566907" w:rsidRDefault="00F23C04" w:rsidP="0037611A">
            <w:pPr>
              <w:jc w:val="center"/>
              <w:rPr>
                <w:rFonts w:ascii="Arial" w:hAnsi="Arial" w:cs="Arial"/>
                <w:sz w:val="20"/>
                <w:szCs w:val="20"/>
              </w:rPr>
            </w:pPr>
            <w:r>
              <w:rPr>
                <w:rFonts w:ascii="Arial" w:hAnsi="Arial" w:cs="Arial"/>
                <w:sz w:val="20"/>
                <w:szCs w:val="20"/>
              </w:rPr>
              <w:t>01.06</w:t>
            </w:r>
            <w:r w:rsidR="00D0295C" w:rsidRPr="00566907">
              <w:rPr>
                <w:rFonts w:ascii="Arial" w:hAnsi="Arial" w:cs="Arial"/>
                <w:sz w:val="20"/>
                <w:szCs w:val="20"/>
              </w:rPr>
              <w:t>.201</w:t>
            </w:r>
            <w:r>
              <w:rPr>
                <w:rFonts w:ascii="Arial" w:hAnsi="Arial" w:cs="Arial"/>
                <w:sz w:val="20"/>
                <w:szCs w:val="20"/>
              </w:rPr>
              <w:t>6</w:t>
            </w:r>
            <w:bookmarkStart w:id="2" w:name="_GoBack"/>
            <w:bookmarkEnd w:id="2"/>
          </w:p>
        </w:tc>
        <w:tc>
          <w:tcPr>
            <w:tcW w:w="1015" w:type="dxa"/>
            <w:shd w:val="clear" w:color="auto" w:fill="auto"/>
            <w:noWrap/>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D0295C" w:rsidRPr="00566907" w:rsidRDefault="00D0295C"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D0295C" w:rsidRPr="00566907" w:rsidRDefault="00D0295C" w:rsidP="0037611A">
            <w:pPr>
              <w:jc w:val="center"/>
            </w:pPr>
            <w:r w:rsidRPr="00566907">
              <w:rPr>
                <w:rFonts w:ascii="Arial" w:hAnsi="Arial" w:cs="Arial"/>
                <w:sz w:val="20"/>
                <w:szCs w:val="20"/>
              </w:rPr>
              <w:t>31.12</w:t>
            </w:r>
          </w:p>
        </w:tc>
        <w:tc>
          <w:tcPr>
            <w:tcW w:w="1015" w:type="dxa"/>
            <w:shd w:val="clear" w:color="auto" w:fill="auto"/>
            <w:vAlign w:val="center"/>
          </w:tcPr>
          <w:p w:rsidR="00D0295C" w:rsidRPr="00D0295C" w:rsidRDefault="00D0295C" w:rsidP="00D0295C">
            <w:pPr>
              <w:jc w:val="center"/>
              <w:rPr>
                <w:rFonts w:ascii="Arial" w:hAnsi="Arial" w:cs="Arial"/>
                <w:sz w:val="20"/>
                <w:szCs w:val="20"/>
              </w:rPr>
            </w:pPr>
            <w:r w:rsidRPr="00D0295C">
              <w:rPr>
                <w:rFonts w:ascii="Arial" w:hAnsi="Arial" w:cs="Arial"/>
                <w:sz w:val="20"/>
                <w:szCs w:val="20"/>
              </w:rPr>
              <w:t>8.12</w:t>
            </w:r>
          </w:p>
        </w:tc>
        <w:tc>
          <w:tcPr>
            <w:tcW w:w="1016" w:type="dxa"/>
            <w:shd w:val="clear" w:color="auto" w:fill="auto"/>
            <w:noWrap/>
            <w:vAlign w:val="center"/>
          </w:tcPr>
          <w:p w:rsidR="00D0295C" w:rsidRPr="00566907" w:rsidRDefault="00D0295C"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D0295C" w:rsidRPr="0037611A" w:rsidRDefault="00D0295C"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D0295C" w:rsidRPr="000E7365" w:rsidRDefault="00D0295C"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D0295C" w:rsidRPr="000E7365" w:rsidRDefault="00D0295C"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0A087B"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3"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3"/>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755511" w:rsidP="005453C6">
            <w:pPr>
              <w:jc w:val="center"/>
              <w:rPr>
                <w:rFonts w:ascii="Arial" w:hAnsi="Arial" w:cs="Arial"/>
                <w:sz w:val="20"/>
                <w:szCs w:val="20"/>
              </w:rPr>
            </w:pPr>
            <w:r>
              <w:rPr>
                <w:rFonts w:ascii="Arial" w:hAnsi="Arial" w:cs="Arial"/>
                <w:color w:val="000000"/>
                <w:sz w:val="20"/>
                <w:szCs w:val="20"/>
              </w:rPr>
              <w:t>01.02</w:t>
            </w:r>
            <w:r w:rsidR="00F4788F" w:rsidRPr="00566907">
              <w:rPr>
                <w:rFonts w:ascii="Arial" w:hAnsi="Arial" w:cs="Arial"/>
                <w:color w:val="000000"/>
                <w:sz w:val="20"/>
                <w:szCs w:val="20"/>
              </w:rPr>
              <w:t>.201</w:t>
            </w:r>
            <w:r>
              <w:rPr>
                <w:rFonts w:ascii="Arial" w:hAnsi="Arial" w:cs="Arial"/>
                <w:color w:val="000000"/>
                <w:sz w:val="20"/>
                <w:szCs w:val="20"/>
              </w:rPr>
              <w:t>6</w:t>
            </w:r>
          </w:p>
        </w:tc>
        <w:tc>
          <w:tcPr>
            <w:tcW w:w="1440" w:type="dxa"/>
            <w:vAlign w:val="center"/>
          </w:tcPr>
          <w:p w:rsidR="00F4788F" w:rsidRPr="00566907" w:rsidRDefault="00755511" w:rsidP="00E33C56">
            <w:pPr>
              <w:jc w:val="center"/>
            </w:pPr>
            <w:r>
              <w:rPr>
                <w:rFonts w:ascii="Arial" w:hAnsi="Arial" w:cs="Arial"/>
                <w:sz w:val="20"/>
                <w:szCs w:val="20"/>
              </w:rPr>
              <w:t>9.70</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0E7365"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306F19">
            <w:pPr>
              <w:rPr>
                <w:rFonts w:ascii="Arial" w:hAnsi="Arial" w:cs="Arial"/>
                <w:sz w:val="20"/>
                <w:szCs w:val="20"/>
              </w:rPr>
            </w:pPr>
            <w:r w:rsidRPr="00566907">
              <w:rPr>
                <w:rFonts w:ascii="Arial" w:hAnsi="Arial" w:cs="Arial"/>
                <w:sz w:val="20"/>
                <w:szCs w:val="20"/>
              </w:rPr>
              <w:t>Charge per EU in arrears</w:t>
            </w:r>
          </w:p>
        </w:tc>
      </w:tr>
      <w:tr w:rsidR="00755511" w:rsidRPr="004621ED" w:rsidTr="00755511">
        <w:tc>
          <w:tcPr>
            <w:tcW w:w="7308" w:type="dxa"/>
          </w:tcPr>
          <w:p w:rsidR="00755511" w:rsidRPr="00566907" w:rsidRDefault="00755511"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755511" w:rsidRDefault="00755511" w:rsidP="00755511">
            <w:pPr>
              <w:jc w:val="center"/>
            </w:pPr>
            <w:r w:rsidRPr="002B5388">
              <w:rPr>
                <w:rFonts w:ascii="Arial" w:hAnsi="Arial" w:cs="Arial"/>
                <w:color w:val="000000"/>
                <w:sz w:val="20"/>
                <w:szCs w:val="20"/>
              </w:rPr>
              <w:t>01.02.2016</w:t>
            </w:r>
          </w:p>
        </w:tc>
        <w:tc>
          <w:tcPr>
            <w:tcW w:w="1440" w:type="dxa"/>
            <w:vAlign w:val="center"/>
          </w:tcPr>
          <w:p w:rsidR="00755511" w:rsidRDefault="00755511" w:rsidP="00755511">
            <w:pPr>
              <w:jc w:val="center"/>
            </w:pPr>
            <w:r w:rsidRPr="00295CB2">
              <w:rPr>
                <w:rFonts w:ascii="Arial" w:hAnsi="Arial" w:cs="Arial"/>
                <w:sz w:val="20"/>
                <w:szCs w:val="20"/>
              </w:rPr>
              <w:t>9.70</w:t>
            </w:r>
          </w:p>
        </w:tc>
        <w:tc>
          <w:tcPr>
            <w:tcW w:w="3240" w:type="dxa"/>
            <w:vAlign w:val="center"/>
          </w:tcPr>
          <w:p w:rsidR="00755511" w:rsidRPr="00566907" w:rsidRDefault="00755511"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4"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4"/>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6637C1">
              <w:rPr>
                <w:rFonts w:ascii="Arial" w:hAnsi="Arial" w:cs="Arial"/>
                <w:b/>
                <w:sz w:val="20"/>
                <w:szCs w:val="20"/>
              </w:rPr>
              <w:t>2.2016</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500</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5453C6">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Home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500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1000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Office 2000</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566907" w:rsidTr="005453C6">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c>
          <w:tcPr>
            <w:tcW w:w="1134" w:type="dxa"/>
            <w:tcBorders>
              <w:bottom w:val="single" w:sz="4" w:space="0" w:color="auto"/>
            </w:tcBorders>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r>
      <w:tr w:rsidR="00D23239" w:rsidRPr="004621ED" w:rsidTr="005453C6">
        <w:trPr>
          <w:trHeight w:val="66"/>
        </w:trPr>
        <w:tc>
          <w:tcPr>
            <w:tcW w:w="3402" w:type="dxa"/>
            <w:vAlign w:val="center"/>
          </w:tcPr>
          <w:p w:rsidR="00D23239" w:rsidRPr="00566907" w:rsidRDefault="00D23239" w:rsidP="00DB55F9">
            <w:pPr>
              <w:rPr>
                <w:rFonts w:ascii="Arial" w:hAnsi="Arial" w:cs="Arial"/>
                <w:sz w:val="20"/>
                <w:szCs w:val="20"/>
              </w:rPr>
            </w:pPr>
            <w:r w:rsidRPr="00566907">
              <w:rPr>
                <w:rFonts w:ascii="Arial" w:hAnsi="Arial" w:cs="Arial"/>
                <w:sz w:val="20"/>
                <w:szCs w:val="20"/>
              </w:rPr>
              <w:t>IPstream Connect Max Premium</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tcPr>
          <w:p w:rsidR="00D23239" w:rsidRPr="00566907" w:rsidRDefault="00D23239" w:rsidP="004179C2">
            <w:pPr>
              <w:jc w:val="center"/>
              <w:rPr>
                <w:rFonts w:ascii="Arial" w:hAnsi="Arial" w:cs="Arial"/>
                <w:sz w:val="20"/>
                <w:szCs w:val="20"/>
              </w:rPr>
            </w:pPr>
            <w:r w:rsidRPr="00566907">
              <w:rPr>
                <w:rFonts w:ascii="Arial" w:hAnsi="Arial" w:cs="Arial"/>
                <w:sz w:val="20"/>
                <w:szCs w:val="20"/>
              </w:rPr>
              <w:t>4.</w:t>
            </w:r>
            <w:r>
              <w:rPr>
                <w:rFonts w:ascii="Arial" w:hAnsi="Arial" w:cs="Arial"/>
                <w:sz w:val="20"/>
                <w:szCs w:val="20"/>
              </w:rPr>
              <w:t>42</w:t>
            </w:r>
          </w:p>
        </w:tc>
        <w:tc>
          <w:tcPr>
            <w:tcW w:w="1134" w:type="dxa"/>
            <w:shd w:val="clear" w:color="auto" w:fill="000000"/>
          </w:tcPr>
          <w:p w:rsidR="00D23239" w:rsidRPr="00566907" w:rsidRDefault="00D23239"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5" w:name="_Toc274310467"/>
      <w:r w:rsidRPr="004621ED">
        <w:rPr>
          <w:sz w:val="20"/>
          <w:szCs w:val="20"/>
          <w:u w:val="single"/>
        </w:rPr>
        <w:lastRenderedPageBreak/>
        <w:t>Sub Part 4:  BT IPstream Connect Symmetric Products - Additional Connection Charge</w:t>
      </w:r>
      <w:bookmarkEnd w:id="5"/>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6"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6"/>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7" w:name="_Toc274310470"/>
      <w:r w:rsidRPr="004621ED">
        <w:rPr>
          <w:rStyle w:val="Heading1Char"/>
          <w:sz w:val="20"/>
          <w:szCs w:val="20"/>
          <w:u w:val="single"/>
        </w:rPr>
        <w:lastRenderedPageBreak/>
        <w:t>Sub Part 7a:  BT IPstream Connect Special Faults Investigation ADSL &amp; SDSL</w:t>
      </w:r>
      <w:bookmarkEnd w:id="7"/>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8"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8"/>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9"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9"/>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10" w:name="REWORKING_CHARGE"/>
      <w:r w:rsidRPr="004621ED">
        <w:rPr>
          <w:rFonts w:ascii="Arial" w:hAnsi="Arial" w:cs="Arial"/>
          <w:b/>
          <w:sz w:val="20"/>
          <w:szCs w:val="20"/>
        </w:rPr>
        <w:t>Time Related Charge</w:t>
      </w:r>
      <w:bookmarkEnd w:id="10"/>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D07112" w:rsidRDefault="009C2C79" w:rsidP="007044EE">
            <w:pPr>
              <w:jc w:val="center"/>
              <w:rPr>
                <w:rFonts w:ascii="Arial" w:hAnsi="Arial" w:cs="Arial"/>
                <w:sz w:val="20"/>
                <w:szCs w:val="20"/>
              </w:rPr>
            </w:pPr>
            <w:r w:rsidRPr="00D07112">
              <w:rPr>
                <w:rFonts w:ascii="Arial" w:hAnsi="Arial" w:cs="Arial"/>
                <w:sz w:val="20"/>
                <w:szCs w:val="20"/>
              </w:rPr>
              <w:t>01.0</w:t>
            </w:r>
            <w:r w:rsidR="006637C1" w:rsidRPr="00D07112">
              <w:rPr>
                <w:rFonts w:ascii="Arial" w:hAnsi="Arial" w:cs="Arial"/>
                <w:sz w:val="20"/>
                <w:szCs w:val="20"/>
              </w:rPr>
              <w:t>2</w:t>
            </w:r>
            <w:r w:rsidR="00966A7B" w:rsidRPr="00D07112">
              <w:rPr>
                <w:rFonts w:ascii="Arial" w:hAnsi="Arial" w:cs="Arial"/>
                <w:sz w:val="20"/>
                <w:szCs w:val="20"/>
              </w:rPr>
              <w:t>.201</w:t>
            </w:r>
            <w:r w:rsidR="006637C1" w:rsidRPr="00D07112">
              <w:rPr>
                <w:rFonts w:ascii="Arial" w:hAnsi="Arial" w:cs="Arial"/>
                <w:sz w:val="20"/>
                <w:szCs w:val="20"/>
              </w:rPr>
              <w:t>6</w:t>
            </w:r>
          </w:p>
        </w:tc>
        <w:tc>
          <w:tcPr>
            <w:tcW w:w="1440" w:type="dxa"/>
          </w:tcPr>
          <w:p w:rsidR="00A2634F" w:rsidRPr="00D07112" w:rsidRDefault="00EC25B9" w:rsidP="005453C6">
            <w:pPr>
              <w:jc w:val="center"/>
              <w:rPr>
                <w:rFonts w:ascii="Arial" w:hAnsi="Arial" w:cs="Arial"/>
                <w:sz w:val="20"/>
                <w:szCs w:val="20"/>
              </w:rPr>
            </w:pPr>
            <w:r w:rsidRPr="00D07112">
              <w:rPr>
                <w:rStyle w:val="spplbodytext"/>
                <w:rFonts w:ascii="Arial" w:hAnsi="Arial" w:cs="Arial"/>
                <w:sz w:val="20"/>
                <w:szCs w:val="20"/>
              </w:rPr>
              <w:t>6</w:t>
            </w:r>
            <w:r w:rsidR="006637C1" w:rsidRPr="00D07112">
              <w:rPr>
                <w:rStyle w:val="spplbodytext"/>
                <w:rFonts w:ascii="Arial" w:hAnsi="Arial" w:cs="Arial"/>
                <w:sz w:val="20"/>
                <w:szCs w:val="20"/>
              </w:rPr>
              <w:t>1.16</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7B" w:rsidRDefault="000A087B" w:rsidP="00D72957">
      <w:pPr>
        <w:pStyle w:val="Heading3"/>
      </w:pPr>
      <w:r>
        <w:separator/>
      </w:r>
    </w:p>
  </w:endnote>
  <w:endnote w:type="continuationSeparator" w:id="0">
    <w:p w:rsidR="000A087B" w:rsidRDefault="000A087B"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9C2" w:rsidRPr="000A23E5" w:rsidRDefault="004179C2">
    <w:pPr>
      <w:pBdr>
        <w:bottom w:val="single" w:sz="6" w:space="1" w:color="auto"/>
      </w:pBdr>
      <w:rPr>
        <w:sz w:val="16"/>
        <w:szCs w:val="16"/>
      </w:rPr>
    </w:pPr>
  </w:p>
  <w:p w:rsidR="004179C2" w:rsidRPr="000A23E5" w:rsidRDefault="004179C2">
    <w:pPr>
      <w:rPr>
        <w:sz w:val="16"/>
        <w:szCs w:val="16"/>
      </w:rPr>
    </w:pPr>
  </w:p>
  <w:p w:rsidR="004179C2" w:rsidRPr="00DB55F9" w:rsidRDefault="004179C2"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F23C04">
      <w:rPr>
        <w:rFonts w:ascii="Arial" w:hAnsi="Arial" w:cs="Arial"/>
        <w:noProof/>
        <w:sz w:val="20"/>
        <w:szCs w:val="20"/>
      </w:rPr>
      <w:t>4</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F23C04">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7B" w:rsidRDefault="000A087B" w:rsidP="00D72957">
      <w:pPr>
        <w:pStyle w:val="Heading3"/>
      </w:pPr>
      <w:r>
        <w:separator/>
      </w:r>
    </w:p>
  </w:footnote>
  <w:footnote w:type="continuationSeparator" w:id="0">
    <w:p w:rsidR="000A087B" w:rsidRDefault="000A087B"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087B"/>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478B"/>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0CA9"/>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175EE"/>
    <w:rsid w:val="004179C2"/>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762"/>
    <w:rsid w:val="005E1902"/>
    <w:rsid w:val="005E20C3"/>
    <w:rsid w:val="005E5085"/>
    <w:rsid w:val="005E6C81"/>
    <w:rsid w:val="005F25E0"/>
    <w:rsid w:val="005F7D7C"/>
    <w:rsid w:val="0060148A"/>
    <w:rsid w:val="006026C7"/>
    <w:rsid w:val="00603B5C"/>
    <w:rsid w:val="00610341"/>
    <w:rsid w:val="00610897"/>
    <w:rsid w:val="00620BCC"/>
    <w:rsid w:val="0062127F"/>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37C1"/>
    <w:rsid w:val="00664723"/>
    <w:rsid w:val="00664AEF"/>
    <w:rsid w:val="00665342"/>
    <w:rsid w:val="00665ACE"/>
    <w:rsid w:val="00665F5F"/>
    <w:rsid w:val="00665F8C"/>
    <w:rsid w:val="006675EB"/>
    <w:rsid w:val="00670D62"/>
    <w:rsid w:val="00670ED6"/>
    <w:rsid w:val="00675168"/>
    <w:rsid w:val="0067633B"/>
    <w:rsid w:val="00676358"/>
    <w:rsid w:val="00676BA7"/>
    <w:rsid w:val="00684833"/>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45B"/>
    <w:rsid w:val="0071682C"/>
    <w:rsid w:val="00717C8D"/>
    <w:rsid w:val="0072159C"/>
    <w:rsid w:val="00725893"/>
    <w:rsid w:val="00734518"/>
    <w:rsid w:val="00736584"/>
    <w:rsid w:val="007464D0"/>
    <w:rsid w:val="00751D48"/>
    <w:rsid w:val="0075252A"/>
    <w:rsid w:val="007534AB"/>
    <w:rsid w:val="00755511"/>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985"/>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26D5"/>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0295C"/>
    <w:rsid w:val="00D07112"/>
    <w:rsid w:val="00D079B6"/>
    <w:rsid w:val="00D23239"/>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3C0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FXKM3USVKQV5-12-216429</_dlc_DocId>
    <_dlc_DocIdUrl xmlns="e0e35bac-e255-4a69-af54-5f01336af94f">
      <Url>https://office.bt.com/sites/btwholesaleproducts/_layouts/DocIdRedir.aspx?ID=FXKM3USVKQV5-12-216429</Url>
      <Description>FXKM3USVKQV5-12-216429</Description>
    </_dlc_DocIdUrl>
    <BT_x0020_Data_x0020_Classification xmlns="e0e35bac-e255-4a69-af54-5f01336af94f">Public</BT_x0020_Data_x0020_Classification>
  </documentManagement>
</p:properties>
</file>

<file path=customXml/item6.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9B640-9ECC-4FB6-8BCE-C5B2EFEDEC63}"/>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97AD732D-F560-4470-BAC2-EE7B3B33A1CB}"/>
</file>

<file path=customXml/itemProps4.xml><?xml version="1.0" encoding="utf-8"?>
<ds:datastoreItem xmlns:ds="http://schemas.openxmlformats.org/officeDocument/2006/customXml" ds:itemID="{FACAA9BB-7671-42D9-8382-329E9348AAEE}"/>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3C488448-F385-4D2E-90A0-F0DF4DCB51B2}"/>
</file>

<file path=customXml/itemProps7.xml><?xml version="1.0" encoding="utf-8"?>
<ds:datastoreItem xmlns:ds="http://schemas.openxmlformats.org/officeDocument/2006/customXml" ds:itemID="{5B318EC1-8AF9-4702-8972-6CB0C9ABD35B}"/>
</file>

<file path=docProps/app.xml><?xml version="1.0" encoding="utf-8"?>
<Properties xmlns="http://schemas.openxmlformats.org/officeDocument/2006/extended-properties" xmlns:vt="http://schemas.openxmlformats.org/officeDocument/2006/docPropsVTypes">
  <Template>Normal.dotm</Template>
  <TotalTime>7</TotalTime>
  <Pages>14</Pages>
  <Words>3552</Words>
  <Characters>20248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IPstream Connect price list entry effective 1 Feb 16</vt:lpstr>
    </vt:vector>
  </TitlesOfParts>
  <Company>BT Wholesale Markets</Company>
  <LinksUpToDate>false</LinksUpToDate>
  <CharactersWithSpaces>23753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Feb 16</dc:title>
  <dc:creator>BT Wholesale Markets</dc:creator>
  <cp:lastModifiedBy>Phil Keeley</cp:lastModifiedBy>
  <cp:revision>5</cp:revision>
  <cp:lastPrinted>2008-10-30T13:50:00Z</cp:lastPrinted>
  <dcterms:created xsi:type="dcterms:W3CDTF">2016-04-28T08:54:00Z</dcterms:created>
  <dcterms:modified xsi:type="dcterms:W3CDTF">2016-04-28T09:01:00Z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7f7c353d-0e54-4d99-9702-f9686984f3b0</vt:lpwstr>
  </property>
</Properties>
</file>